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5045" w:rsidRPr="00F728E1" w:rsidRDefault="00F728E1">
      <w:pPr>
        <w:rPr>
          <w:b/>
          <w:sz w:val="36"/>
          <w:lang w:val="es-ES_tradnl"/>
        </w:rPr>
      </w:pPr>
      <w:r w:rsidRPr="00F728E1">
        <w:rPr>
          <w:b/>
          <w:sz w:val="36"/>
          <w:lang w:val="es-ES_tradnl"/>
        </w:rPr>
        <w:t xml:space="preserve">Resumen </w:t>
      </w:r>
      <w:r>
        <w:rPr>
          <w:b/>
          <w:sz w:val="36"/>
          <w:lang w:val="es-ES_tradnl"/>
        </w:rPr>
        <w:t>(máximo 3500 caracteres)</w:t>
      </w:r>
    </w:p>
    <w:p w:rsidR="00F728E1" w:rsidRPr="00F728E1" w:rsidRDefault="00F728E1" w:rsidP="00F728E1">
      <w:pPr>
        <w:jc w:val="both"/>
        <w:rPr>
          <w:lang w:val="es-ES_tradnl"/>
        </w:rPr>
      </w:pPr>
      <w:r w:rsidRPr="00F728E1">
        <w:rPr>
          <w:lang w:val="es-ES_tradnl"/>
        </w:rPr>
        <w:t xml:space="preserve">El proyecto AQUASYM se centrará en el estudio de </w:t>
      </w:r>
      <w:proofErr w:type="spellStart"/>
      <w:r w:rsidRPr="00F728E1">
        <w:rPr>
          <w:lang w:val="es-ES_tradnl"/>
        </w:rPr>
        <w:t>nanomateriales</w:t>
      </w:r>
      <w:proofErr w:type="spellEnd"/>
      <w:r w:rsidRPr="00F728E1">
        <w:rPr>
          <w:lang w:val="es-ES_tradnl"/>
        </w:rPr>
        <w:t xml:space="preserve"> disruptivos que pueden ser diseñados con ingeniería de simetría o con un ángulo controlado entre sus capas, en los que los fenómenos cuánticos emergentes se manifiestan a través de sus propiedades de carga y/o </w:t>
      </w:r>
      <w:proofErr w:type="gramStart"/>
      <w:r w:rsidRPr="00F728E1">
        <w:rPr>
          <w:lang w:val="es-ES_tradnl"/>
        </w:rPr>
        <w:t>espín no convencionales</w:t>
      </w:r>
      <w:proofErr w:type="gramEnd"/>
      <w:r w:rsidRPr="00F728E1">
        <w:rPr>
          <w:lang w:val="es-ES_tradnl"/>
        </w:rPr>
        <w:t xml:space="preserve">. Los ingredientes esenciales de la física subyacente son la simetría rota, la </w:t>
      </w:r>
      <w:proofErr w:type="spellStart"/>
      <w:r w:rsidRPr="00F728E1">
        <w:rPr>
          <w:lang w:val="es-ES_tradnl"/>
        </w:rPr>
        <w:t>quiralidad</w:t>
      </w:r>
      <w:proofErr w:type="spellEnd"/>
      <w:r w:rsidRPr="00F728E1">
        <w:rPr>
          <w:lang w:val="es-ES_tradnl"/>
        </w:rPr>
        <w:t xml:space="preserve"> y la topología. El proyecto incluye aspectos tanto experimentales como teóricos, estrechamente vinculados, como describiremos a continuación.</w:t>
      </w:r>
    </w:p>
    <w:p w:rsidR="00F728E1" w:rsidRPr="00F728E1" w:rsidRDefault="00F728E1" w:rsidP="00F728E1">
      <w:pPr>
        <w:jc w:val="both"/>
        <w:rPr>
          <w:lang w:val="es-ES_tradnl"/>
        </w:rPr>
      </w:pPr>
      <w:r w:rsidRPr="00F728E1">
        <w:rPr>
          <w:lang w:val="es-ES_tradnl"/>
        </w:rPr>
        <w:t xml:space="preserve">Un requisito clave de nuestra propuesta, que abarca una amplia gama de disciplinas, es garantizar que los dos </w:t>
      </w:r>
      <w:proofErr w:type="spellStart"/>
      <w:r w:rsidRPr="00F728E1">
        <w:rPr>
          <w:lang w:val="es-ES_tradnl"/>
        </w:rPr>
        <w:t>subproyectos</w:t>
      </w:r>
      <w:proofErr w:type="spellEnd"/>
      <w:r w:rsidRPr="00F728E1">
        <w:rPr>
          <w:lang w:val="es-ES_tradnl"/>
        </w:rPr>
        <w:t xml:space="preserve"> estén estrechamente interconectados y, por lo tanto, se complementen directamente entre sí y con los objetivos estratégicos. Como se describe en detalle más adelante en la propuesta, lo conseguiremos principalmente mediante (i) una estrecha interacción entre los miembros del equipo, (ii) los investigadores principales (IP), que se conocen entre sí y son conocidos por sus enfoques interdisciplinarios de la investigación, (iii) un programa de formación detallado destinado a garantizar que el grupo de estudiantes de doctorado progrese como una unidad, y (iv) una gestión experimentada y bien estructurada.</w:t>
      </w:r>
    </w:p>
    <w:p w:rsidR="00F728E1" w:rsidRPr="00F728E1" w:rsidRDefault="00F728E1" w:rsidP="00F728E1">
      <w:pPr>
        <w:jc w:val="both"/>
        <w:rPr>
          <w:lang w:val="es-ES_tradnl"/>
        </w:rPr>
      </w:pPr>
      <w:r w:rsidRPr="00F728E1">
        <w:rPr>
          <w:lang w:val="es-ES_tradnl"/>
        </w:rPr>
        <w:t xml:space="preserve">Nuestra propuesta se beneficia del esfuerzo conjunto de diferentes grupos con perfiles científicos complementarios. Estos grupos tienen una larga trayectoria de colaboración sostenida y fructífera a largo plazo. </w:t>
      </w:r>
    </w:p>
    <w:p w:rsidR="00F728E1" w:rsidRDefault="00F728E1" w:rsidP="00F728E1">
      <w:pPr>
        <w:jc w:val="both"/>
        <w:rPr>
          <w:lang w:val="es-ES_tradnl"/>
        </w:rPr>
      </w:pPr>
      <w:r w:rsidRPr="00F728E1">
        <w:rPr>
          <w:lang w:val="es-ES_tradnl"/>
        </w:rPr>
        <w:t xml:space="preserve">En los últimos años, el Grupo de </w:t>
      </w:r>
      <w:proofErr w:type="spellStart"/>
      <w:r w:rsidRPr="00F728E1">
        <w:rPr>
          <w:lang w:val="es-ES_tradnl"/>
        </w:rPr>
        <w:t>Nanosistemas</w:t>
      </w:r>
      <w:proofErr w:type="spellEnd"/>
      <w:r w:rsidRPr="00F728E1">
        <w:rPr>
          <w:lang w:val="es-ES_tradnl"/>
        </w:rPr>
        <w:t xml:space="preserve"> Cuánticos (QNG, www.qng.es) de la Universidad Complutense de Madrid (UCM), en colaboración con el Instituto de Estructura de la Materia del CSIC (IEM, www.iem.csic.es) y la Universidad de Castilla-La Mancha (UCLM) han presentado propuestas para el desarrollo de </w:t>
      </w:r>
      <w:proofErr w:type="spellStart"/>
      <w:r w:rsidRPr="00F728E1">
        <w:rPr>
          <w:lang w:val="es-ES_tradnl"/>
        </w:rPr>
        <w:t>nanodispositivos</w:t>
      </w:r>
      <w:proofErr w:type="spellEnd"/>
      <w:r w:rsidRPr="00F728E1">
        <w:rPr>
          <w:lang w:val="es-ES_tradnl"/>
        </w:rPr>
        <w:t xml:space="preserve"> (transistores, filtros de espín resonantes y osciladores electrónicos, entre otros) basados en </w:t>
      </w:r>
      <w:proofErr w:type="spellStart"/>
      <w:r w:rsidRPr="00F728E1">
        <w:rPr>
          <w:lang w:val="es-ES_tradnl"/>
        </w:rPr>
        <w:t>nanoestructuras</w:t>
      </w:r>
      <w:proofErr w:type="spellEnd"/>
      <w:r w:rsidRPr="00F728E1">
        <w:rPr>
          <w:lang w:val="es-ES_tradnl"/>
        </w:rPr>
        <w:t xml:space="preserve"> fabricadas con materiales novedosos. Sin embargo, los modelos y las simulaciones posteriores necesitan una verificación experimental para mejorarlos. Aquí es donde se hace esencial la justificación de la colaboración con el Grupo de Nanotecnología y Materiales Cuánticos (NANOTECH, nanotech.usal.es) de la Universidad de Salamanca (USAL). Los miembros del grupo cuentan con la experiencia y los recursos necesarios para fabricar y caracterizar experimentalmente los </w:t>
      </w:r>
      <w:proofErr w:type="spellStart"/>
      <w:r w:rsidRPr="00F728E1">
        <w:rPr>
          <w:lang w:val="es-ES_tradnl"/>
        </w:rPr>
        <w:t>nanodispositivos</w:t>
      </w:r>
      <w:proofErr w:type="spellEnd"/>
      <w:r w:rsidRPr="00F728E1">
        <w:rPr>
          <w:lang w:val="es-ES_tradnl"/>
        </w:rPr>
        <w:t xml:space="preserve"> que se describen en esta propuesta. Además de sus propios recursos, como una sala limpia totalmente equipada, mantienen una estrecha colaboración con otros laboratorios internacionales, como la Universidad </w:t>
      </w:r>
      <w:proofErr w:type="spellStart"/>
      <w:r w:rsidRPr="00F728E1">
        <w:rPr>
          <w:lang w:val="es-ES_tradnl"/>
        </w:rPr>
        <w:t>McGill</w:t>
      </w:r>
      <w:proofErr w:type="spellEnd"/>
      <w:r w:rsidRPr="00F728E1">
        <w:rPr>
          <w:lang w:val="es-ES_tradnl"/>
        </w:rPr>
        <w:t xml:space="preserve"> (MGU) de Montreal, la Universidad de Nueva Gales del Sur (Sídney), el Laboratorio Europeo de Campos Magnéticos (</w:t>
      </w:r>
      <w:proofErr w:type="spellStart"/>
      <w:r w:rsidRPr="00F728E1">
        <w:rPr>
          <w:lang w:val="es-ES_tradnl"/>
        </w:rPr>
        <w:t>Nijmegen</w:t>
      </w:r>
      <w:proofErr w:type="spellEnd"/>
      <w:r w:rsidRPr="00F728E1">
        <w:rPr>
          <w:lang w:val="es-ES_tradnl"/>
        </w:rPr>
        <w:t xml:space="preserve">), Toulouse y </w:t>
      </w:r>
      <w:proofErr w:type="spellStart"/>
      <w:r w:rsidRPr="00F728E1">
        <w:rPr>
          <w:lang w:val="es-ES_tradnl"/>
        </w:rPr>
        <w:t>Grenoble</w:t>
      </w:r>
      <w:proofErr w:type="spellEnd"/>
      <w:r w:rsidRPr="00F728E1">
        <w:rPr>
          <w:lang w:val="es-ES_tradnl"/>
        </w:rPr>
        <w:t>, el Laboratorio Ibér</w:t>
      </w:r>
      <w:r>
        <w:rPr>
          <w:lang w:val="es-ES_tradnl"/>
        </w:rPr>
        <w:t xml:space="preserve">ico de Nanotecnología (Braga), </w:t>
      </w:r>
      <w:r w:rsidRPr="00F728E1">
        <w:rPr>
          <w:lang w:val="es-ES_tradnl"/>
        </w:rPr>
        <w:t>y las universidades de Pavía y Cambridge.</w:t>
      </w:r>
    </w:p>
    <w:p w:rsidR="00F728E1" w:rsidRDefault="00F728E1" w:rsidP="00F728E1">
      <w:pPr>
        <w:jc w:val="both"/>
        <w:rPr>
          <w:lang w:val="es-ES_tradnl"/>
        </w:rPr>
      </w:pPr>
    </w:p>
    <w:p w:rsidR="00F728E1" w:rsidRDefault="00F728E1" w:rsidP="00F728E1">
      <w:pPr>
        <w:jc w:val="both"/>
        <w:rPr>
          <w:lang w:val="es-ES_tradnl"/>
        </w:rPr>
      </w:pPr>
    </w:p>
    <w:p w:rsidR="00F728E1" w:rsidRDefault="00F728E1" w:rsidP="00F728E1">
      <w:pPr>
        <w:jc w:val="both"/>
        <w:rPr>
          <w:lang w:val="es-ES_tradnl"/>
        </w:rPr>
      </w:pPr>
    </w:p>
    <w:p w:rsidR="00F728E1" w:rsidRDefault="00F728E1" w:rsidP="00F728E1">
      <w:pPr>
        <w:jc w:val="both"/>
        <w:rPr>
          <w:lang w:val="es-ES_tradnl"/>
        </w:rPr>
      </w:pPr>
    </w:p>
    <w:p w:rsidR="00F728E1" w:rsidRDefault="00F728E1" w:rsidP="00F728E1">
      <w:pPr>
        <w:jc w:val="both"/>
        <w:rPr>
          <w:lang w:val="es-ES_tradnl"/>
        </w:rPr>
      </w:pPr>
    </w:p>
    <w:p w:rsidR="00F728E1" w:rsidRPr="00F728E1" w:rsidRDefault="00F728E1" w:rsidP="00F728E1">
      <w:pPr>
        <w:rPr>
          <w:b/>
          <w:sz w:val="36"/>
          <w:lang w:val="es-ES_tradnl"/>
        </w:rPr>
      </w:pPr>
      <w:proofErr w:type="spellStart"/>
      <w:r>
        <w:rPr>
          <w:b/>
          <w:sz w:val="36"/>
          <w:lang w:val="es-ES_tradnl"/>
        </w:rPr>
        <w:lastRenderedPageBreak/>
        <w:t>Summary</w:t>
      </w:r>
      <w:proofErr w:type="spellEnd"/>
      <w:r w:rsidRPr="00F728E1">
        <w:rPr>
          <w:b/>
          <w:sz w:val="36"/>
          <w:lang w:val="es-ES_tradnl"/>
        </w:rPr>
        <w:t xml:space="preserve"> </w:t>
      </w:r>
      <w:r>
        <w:rPr>
          <w:b/>
          <w:sz w:val="36"/>
          <w:lang w:val="es-ES_tradnl"/>
        </w:rPr>
        <w:t>(max</w:t>
      </w:r>
      <w:r>
        <w:rPr>
          <w:b/>
          <w:sz w:val="36"/>
          <w:lang w:val="es-ES_tradnl"/>
        </w:rPr>
        <w:t>imum</w:t>
      </w:r>
      <w:bookmarkStart w:id="0" w:name="_GoBack"/>
      <w:bookmarkEnd w:id="0"/>
      <w:r>
        <w:rPr>
          <w:b/>
          <w:sz w:val="36"/>
          <w:lang w:val="es-ES_tradnl"/>
        </w:rPr>
        <w:t xml:space="preserve"> 3500 </w:t>
      </w:r>
      <w:proofErr w:type="spellStart"/>
      <w:r>
        <w:rPr>
          <w:b/>
          <w:sz w:val="36"/>
          <w:lang w:val="es-ES_tradnl"/>
        </w:rPr>
        <w:t>c</w:t>
      </w:r>
      <w:r>
        <w:rPr>
          <w:b/>
          <w:sz w:val="36"/>
          <w:lang w:val="es-ES_tradnl"/>
        </w:rPr>
        <w:t>haracters</w:t>
      </w:r>
      <w:proofErr w:type="spellEnd"/>
      <w:r>
        <w:rPr>
          <w:b/>
          <w:sz w:val="36"/>
          <w:lang w:val="es-ES_tradnl"/>
        </w:rPr>
        <w:t>)</w:t>
      </w:r>
    </w:p>
    <w:p w:rsidR="00F728E1" w:rsidRDefault="00F728E1" w:rsidP="00F728E1">
      <w:pPr>
        <w:jc w:val="both"/>
        <w:rPr>
          <w:lang w:val="es-ES_tradnl"/>
        </w:rPr>
      </w:pPr>
    </w:p>
    <w:p w:rsidR="00F728E1" w:rsidRPr="00F728E1" w:rsidRDefault="00F728E1" w:rsidP="00F728E1">
      <w:pPr>
        <w:jc w:val="both"/>
      </w:pPr>
      <w:r w:rsidRPr="00F728E1">
        <w:t>The AQUASYM project will focus on the study of disruptive nanomaterials that can be symmetry-engineered and/or twisted, where emergent quantum phenomena manifest themselves through their unconventional charge and/or spin properties. Essential ingredients of the underlying physics are broken-symmetry, chirality and topology. The project includes both experimental and theoretical aspects, closely linked as we will describe here.</w:t>
      </w:r>
    </w:p>
    <w:p w:rsidR="00F728E1" w:rsidRPr="00F728E1" w:rsidRDefault="00F728E1" w:rsidP="00F728E1">
      <w:pPr>
        <w:jc w:val="both"/>
      </w:pPr>
      <w:r w:rsidRPr="00F728E1">
        <w:t>A key requirement of our proposal, encompassing a range of disciplines, is to ensure that the two subprojects are closely interconnected, and thus directly complement each other and the strategic goals. As outlined in detail later in the proposal, we will mainly achieve this through (</w:t>
      </w:r>
      <w:proofErr w:type="spellStart"/>
      <w:r w:rsidRPr="00F728E1">
        <w:t>i</w:t>
      </w:r>
      <w:proofErr w:type="spellEnd"/>
      <w:r w:rsidRPr="00F728E1">
        <w:t>) tight interaction among team members, (ii) the principal investigators (PIs), who are familiar with each other and known for their interdisciplinary approaches to research, (iii) a detailed training program aimed to ensure that the cohort of PhD students progresses as one unit, and (iv) an experienced and well-structured management.</w:t>
      </w:r>
    </w:p>
    <w:p w:rsidR="00F728E1" w:rsidRDefault="00F728E1" w:rsidP="00F728E1">
      <w:pPr>
        <w:jc w:val="both"/>
      </w:pPr>
      <w:r w:rsidRPr="00F728E1">
        <w:t xml:space="preserve">Our proposal benefits from the joint effort between different groups with complementary scientific profiles. These groups have a lengthy history of sustained and fruitful long-term collaboration. In recent years, the Quantum </w:t>
      </w:r>
      <w:proofErr w:type="spellStart"/>
      <w:r w:rsidRPr="00F728E1">
        <w:t>Nanosystems</w:t>
      </w:r>
      <w:proofErr w:type="spellEnd"/>
      <w:r w:rsidRPr="00F728E1">
        <w:t xml:space="preserve"> Group (QNG, www.qng.es) of the Universidad </w:t>
      </w:r>
      <w:proofErr w:type="spellStart"/>
      <w:r w:rsidRPr="00F728E1">
        <w:t>Complutense</w:t>
      </w:r>
      <w:proofErr w:type="spellEnd"/>
      <w:r w:rsidRPr="00F728E1">
        <w:t xml:space="preserve"> de Madrid (UCM), in collaboration with </w:t>
      </w:r>
      <w:proofErr w:type="spellStart"/>
      <w:r w:rsidRPr="00F728E1">
        <w:t>Instituto</w:t>
      </w:r>
      <w:proofErr w:type="spellEnd"/>
      <w:r w:rsidRPr="00F728E1">
        <w:t xml:space="preserve"> de </w:t>
      </w:r>
      <w:proofErr w:type="spellStart"/>
      <w:r w:rsidRPr="00F728E1">
        <w:t>Estructura</w:t>
      </w:r>
      <w:proofErr w:type="spellEnd"/>
      <w:r w:rsidRPr="00F728E1">
        <w:t xml:space="preserve"> de la </w:t>
      </w:r>
      <w:proofErr w:type="spellStart"/>
      <w:r w:rsidRPr="00F728E1">
        <w:t>Materia</w:t>
      </w:r>
      <w:proofErr w:type="spellEnd"/>
      <w:r w:rsidRPr="00F728E1">
        <w:t xml:space="preserve"> from CSIC (IEM, www.iem.csic.es) and Universidad de </w:t>
      </w:r>
      <w:proofErr w:type="spellStart"/>
      <w:r w:rsidRPr="00F728E1">
        <w:t>Castilla</w:t>
      </w:r>
      <w:proofErr w:type="spellEnd"/>
      <w:r w:rsidRPr="00F728E1">
        <w:t xml:space="preserve">-La Mancha (UCLM), have made proposals for the development of </w:t>
      </w:r>
      <w:proofErr w:type="spellStart"/>
      <w:r w:rsidRPr="00F728E1">
        <w:t>nanodevices</w:t>
      </w:r>
      <w:proofErr w:type="spellEnd"/>
      <w:r w:rsidRPr="00F728E1">
        <w:t xml:space="preserve"> (transistors, resonant spin filters and electronic oscillators among others) based on nanostructures made of novel materials. However, models and subsequent simulations need experimental verification to improve them. This is where the justification for collaboration with the Nanotechnology and Quantum Materials Group (NANOTECH, nanotech.usal.es) of the Universidad de Salamanca (USAL) becomes essential. The group members have experience and resources to experimentally manufacture and characterize the </w:t>
      </w:r>
      <w:proofErr w:type="spellStart"/>
      <w:r w:rsidRPr="00F728E1">
        <w:t>nanodevices</w:t>
      </w:r>
      <w:proofErr w:type="spellEnd"/>
      <w:r w:rsidRPr="00F728E1">
        <w:t xml:space="preserve"> discussed in this proposal. In addition to their own resources, such as a fully equipped Clean Room, they maintain close collaboration with other international laboratories, such as McGill University (MGU) at Montreal, University of New South Wales (Sydney), European Magnetic Field Laboratory- (Nijmegen), Toulouse and Grenoble, Iberian Nanotechnology Laboratory (Braga</w:t>
      </w:r>
      <w:proofErr w:type="gramStart"/>
      <w:r w:rsidRPr="00F728E1">
        <w:t>),  Pavia</w:t>
      </w:r>
      <w:proofErr w:type="gramEnd"/>
      <w:r w:rsidRPr="00F728E1">
        <w:t xml:space="preserve"> and Cambridge Universities.</w:t>
      </w:r>
    </w:p>
    <w:p w:rsidR="00F728E1" w:rsidRDefault="00F728E1" w:rsidP="00F728E1">
      <w:pPr>
        <w:jc w:val="both"/>
      </w:pPr>
    </w:p>
    <w:p w:rsidR="00F728E1" w:rsidRDefault="00F728E1" w:rsidP="00F728E1">
      <w:pPr>
        <w:jc w:val="both"/>
      </w:pPr>
    </w:p>
    <w:p w:rsidR="00F728E1" w:rsidRDefault="00F728E1" w:rsidP="00F728E1">
      <w:pPr>
        <w:jc w:val="both"/>
      </w:pPr>
    </w:p>
    <w:p w:rsidR="00F728E1" w:rsidRDefault="00F728E1" w:rsidP="00F728E1">
      <w:pPr>
        <w:jc w:val="both"/>
      </w:pPr>
    </w:p>
    <w:p w:rsidR="00F728E1" w:rsidRDefault="00F728E1" w:rsidP="00F728E1">
      <w:pPr>
        <w:jc w:val="both"/>
      </w:pPr>
    </w:p>
    <w:p w:rsidR="00F728E1" w:rsidRDefault="00F728E1" w:rsidP="00F728E1">
      <w:pPr>
        <w:jc w:val="both"/>
      </w:pPr>
    </w:p>
    <w:p w:rsidR="00F728E1" w:rsidRDefault="00F728E1" w:rsidP="00F728E1">
      <w:pPr>
        <w:jc w:val="both"/>
      </w:pPr>
    </w:p>
    <w:p w:rsidR="00F728E1" w:rsidRDefault="00F728E1" w:rsidP="00F728E1">
      <w:pPr>
        <w:rPr>
          <w:b/>
          <w:sz w:val="36"/>
          <w:lang w:val="es-ES_tradnl"/>
        </w:rPr>
      </w:pPr>
      <w:r>
        <w:rPr>
          <w:b/>
          <w:sz w:val="36"/>
          <w:lang w:val="es-ES_tradnl"/>
        </w:rPr>
        <w:lastRenderedPageBreak/>
        <w:t xml:space="preserve">Impacto científico técnico o internacional esperable </w:t>
      </w:r>
    </w:p>
    <w:p w:rsidR="00F728E1" w:rsidRPr="00F728E1" w:rsidRDefault="00F728E1" w:rsidP="00F728E1">
      <w:pPr>
        <w:rPr>
          <w:b/>
          <w:sz w:val="36"/>
          <w:lang w:val="es-ES_tradnl"/>
        </w:rPr>
      </w:pPr>
      <w:r>
        <w:rPr>
          <w:b/>
          <w:sz w:val="36"/>
          <w:lang w:val="es-ES_tradnl"/>
        </w:rPr>
        <w:t>(má</w:t>
      </w:r>
      <w:r>
        <w:rPr>
          <w:b/>
          <w:sz w:val="36"/>
          <w:lang w:val="es-ES_tradnl"/>
        </w:rPr>
        <w:t>x</w:t>
      </w:r>
      <w:r>
        <w:rPr>
          <w:b/>
          <w:sz w:val="36"/>
          <w:lang w:val="es-ES_tradnl"/>
        </w:rPr>
        <w:t>imo</w:t>
      </w:r>
      <w:r>
        <w:rPr>
          <w:b/>
          <w:sz w:val="36"/>
          <w:lang w:val="es-ES_tradnl"/>
        </w:rPr>
        <w:t xml:space="preserve"> 3500 caracteres)</w:t>
      </w:r>
    </w:p>
    <w:p w:rsidR="00F728E1" w:rsidRPr="00F728E1" w:rsidRDefault="00F728E1" w:rsidP="00F728E1">
      <w:pPr>
        <w:jc w:val="both"/>
        <w:rPr>
          <w:lang w:val="es-ES"/>
        </w:rPr>
      </w:pPr>
    </w:p>
    <w:p w:rsidR="00F728E1" w:rsidRPr="00F728E1" w:rsidRDefault="00F728E1" w:rsidP="00F728E1">
      <w:pPr>
        <w:jc w:val="both"/>
      </w:pPr>
      <w:r w:rsidRPr="00F728E1">
        <w:t xml:space="preserve">The AQUASYM project is expected to significantly advance our understanding of quantum transport phenomena in low-dimensional materials. By focusing on electron and phonon hydrodynamics in two-dimensional systems, the research will contribute to clarifying how collective excitations behave under conditions where classical approximations fail and quantum mechanical effects dominate. This is particularly important for emerging materials where electron-electron and phonon-phonon interactions lead to fluid-like transport regimes, challenging established theoretical frameworks. In addition, the investigation of superconductivity and super-moiré effects in low-dimensional materials will deepen current knowledge on how symmetry breaking, correlation effects, and lattice engineering can induce or enhance superconducting phases. The project will provide new insights into the mechanisms that stabilize unconventional superconductivity and how moiré </w:t>
      </w:r>
      <w:proofErr w:type="spellStart"/>
      <w:r w:rsidRPr="00F728E1">
        <w:t>superlattices</w:t>
      </w:r>
      <w:proofErr w:type="spellEnd"/>
      <w:r w:rsidRPr="00F728E1">
        <w:t xml:space="preserve"> can be tuned to manipulate electronic band structures at will. Furthermore, the study of low-dimensional systems subjected to time-dependent electric fields is expected to shed light on dynamic quantum states that are not accessible under equilibrium conditions, including </w:t>
      </w:r>
      <w:proofErr w:type="spellStart"/>
      <w:r w:rsidRPr="00F728E1">
        <w:t>Floquet</w:t>
      </w:r>
      <w:proofErr w:type="spellEnd"/>
      <w:r w:rsidRPr="00F728E1">
        <w:t xml:space="preserve">-engineered phases and </w:t>
      </w:r>
      <w:proofErr w:type="spellStart"/>
      <w:r w:rsidRPr="00F728E1">
        <w:t>nonequilibrium</w:t>
      </w:r>
      <w:proofErr w:type="spellEnd"/>
      <w:r w:rsidRPr="00F728E1">
        <w:t xml:space="preserve"> superconductivity. This will open new theoretical possibilities for controlling material properties in real time and may inspire innovative device concepts. Overall, the project will contribute to developing a unified framework connecting hydrodynamic transport, broken-symmetry phases, and driven quantum systems. Such </w:t>
      </w:r>
      <w:proofErr w:type="gramStart"/>
      <w:r w:rsidRPr="00F728E1">
        <w:t>an</w:t>
      </w:r>
      <w:proofErr w:type="gramEnd"/>
      <w:r w:rsidRPr="00F728E1">
        <w:t xml:space="preserve"> unified perspective is essential for identifying universal principles governing quantum flow in complex materials, and it may stimulate new research directions across condensed matter physics, nanotechnology, and quantum materials engineering.</w:t>
      </w:r>
    </w:p>
    <w:p w:rsidR="00F728E1" w:rsidRPr="00F728E1" w:rsidRDefault="00F728E1" w:rsidP="00F728E1">
      <w:pPr>
        <w:jc w:val="both"/>
      </w:pPr>
    </w:p>
    <w:sectPr w:rsidR="00F728E1" w:rsidRPr="00F728E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28E1"/>
    <w:rsid w:val="0099610D"/>
    <w:rsid w:val="00C5163B"/>
    <w:rsid w:val="00F728E1"/>
    <w:rsid w:val="00FE46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D2F94"/>
  <w15:chartTrackingRefBased/>
  <w15:docId w15:val="{015C7814-6057-41BF-AC2D-A3F17E476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1094</Words>
  <Characters>6241</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Usuario</cp:lastModifiedBy>
  <cp:revision>2</cp:revision>
  <dcterms:created xsi:type="dcterms:W3CDTF">2025-11-26T18:18:00Z</dcterms:created>
  <dcterms:modified xsi:type="dcterms:W3CDTF">2025-11-26T18:18:00Z</dcterms:modified>
</cp:coreProperties>
</file>